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D7F5" w14:textId="77777777" w:rsidR="001E329E" w:rsidRPr="009E2424" w:rsidRDefault="001E329E" w:rsidP="001E329E">
      <w:pPr>
        <w:rPr>
          <w:sz w:val="18"/>
          <w:szCs w:val="18"/>
        </w:rPr>
      </w:pPr>
    </w:p>
    <w:p w14:paraId="4D409A29" w14:textId="77777777" w:rsidR="001E329E" w:rsidRPr="009E2424" w:rsidRDefault="001E329E" w:rsidP="001E329E">
      <w:pPr>
        <w:rPr>
          <w:sz w:val="18"/>
          <w:szCs w:val="18"/>
        </w:rPr>
      </w:pPr>
    </w:p>
    <w:p w14:paraId="426704AA" w14:textId="77777777" w:rsidR="001E329E" w:rsidRPr="009E2424" w:rsidRDefault="001E329E" w:rsidP="001E329E">
      <w:pPr>
        <w:rPr>
          <w:sz w:val="18"/>
          <w:szCs w:val="18"/>
        </w:rPr>
      </w:pPr>
    </w:p>
    <w:p w14:paraId="052ACB92" w14:textId="77777777" w:rsidR="001E329E" w:rsidRPr="000A29C9" w:rsidRDefault="001E329E" w:rsidP="001E329E">
      <w:pPr>
        <w:jc w:val="center"/>
        <w:rPr>
          <w:rFonts w:ascii="Open Sans" w:hAnsi="Open Sans" w:cs="Open Sans"/>
          <w:b/>
          <w:bCs/>
          <w:sz w:val="24"/>
          <w:szCs w:val="24"/>
        </w:rPr>
      </w:pPr>
      <w:r w:rsidRPr="000A29C9">
        <w:rPr>
          <w:rFonts w:ascii="Open Sans" w:hAnsi="Open Sans" w:cs="Open Sans"/>
          <w:b/>
          <w:bCs/>
          <w:sz w:val="24"/>
          <w:szCs w:val="24"/>
        </w:rPr>
        <w:t>INTRODUCCIÓN</w:t>
      </w:r>
    </w:p>
    <w:p w14:paraId="55D06366" w14:textId="77777777" w:rsidR="001E329E" w:rsidRPr="000A29C9" w:rsidRDefault="001E329E" w:rsidP="001E329E">
      <w:pPr>
        <w:jc w:val="both"/>
        <w:rPr>
          <w:rFonts w:ascii="Open Sans" w:hAnsi="Open Sans" w:cs="Open Sans"/>
          <w:sz w:val="24"/>
          <w:szCs w:val="24"/>
        </w:rPr>
      </w:pPr>
      <w:r w:rsidRPr="000A29C9">
        <w:rPr>
          <w:rFonts w:ascii="Open Sans" w:hAnsi="Open Sans" w:cs="Open Sans"/>
          <w:sz w:val="24"/>
          <w:szCs w:val="24"/>
        </w:rPr>
        <w:t>Contar con un ambiente de control es parte esencial del establecimiento y logro de objetivos institucionales; a la prevención y combate a la corrupción; al fomento de la transparencia, así como a la rendición de cuentas efectivas en las instituciones públicas.</w:t>
      </w:r>
    </w:p>
    <w:p w14:paraId="36822535" w14:textId="77777777" w:rsidR="001E329E" w:rsidRPr="000A29C9" w:rsidRDefault="001E329E" w:rsidP="001E329E">
      <w:pPr>
        <w:jc w:val="both"/>
        <w:rPr>
          <w:rFonts w:ascii="Open Sans" w:hAnsi="Open Sans" w:cs="Open Sans"/>
          <w:sz w:val="24"/>
          <w:szCs w:val="24"/>
        </w:rPr>
      </w:pPr>
      <w:r w:rsidRPr="000A29C9">
        <w:rPr>
          <w:rFonts w:ascii="Open Sans" w:hAnsi="Open Sans" w:cs="Open Sans"/>
          <w:sz w:val="24"/>
          <w:szCs w:val="24"/>
        </w:rPr>
        <w:t xml:space="preserve">La </w:t>
      </w:r>
      <w:r>
        <w:rPr>
          <w:rFonts w:ascii="Open Sans" w:hAnsi="Open Sans" w:cs="Open Sans"/>
          <w:sz w:val="24"/>
          <w:szCs w:val="24"/>
        </w:rPr>
        <w:t>S</w:t>
      </w:r>
      <w:r w:rsidRPr="000A29C9">
        <w:rPr>
          <w:rFonts w:ascii="Open Sans" w:hAnsi="Open Sans" w:cs="Open Sans"/>
          <w:sz w:val="24"/>
          <w:szCs w:val="24"/>
        </w:rPr>
        <w:t>ecretaría de Seguridad Pública, ha desarrollado una política institucional de integridad con el propósito de garantizar que el desarrollo</w:t>
      </w:r>
      <w:r>
        <w:rPr>
          <w:rFonts w:ascii="Open Sans" w:hAnsi="Open Sans" w:cs="Open Sans"/>
          <w:sz w:val="24"/>
          <w:szCs w:val="24"/>
        </w:rPr>
        <w:t xml:space="preserve"> </w:t>
      </w:r>
      <w:r w:rsidRPr="000A29C9">
        <w:rPr>
          <w:rFonts w:ascii="Open Sans" w:hAnsi="Open Sans" w:cs="Open Sans"/>
          <w:sz w:val="24"/>
          <w:szCs w:val="24"/>
        </w:rPr>
        <w:t xml:space="preserve">de sus actividades se realice bajo un esquema basado en la honestidad, la ética, el profesionalismo y confiabilidad por parte de sus servidores públicos. </w:t>
      </w:r>
    </w:p>
    <w:p w14:paraId="39DA4456" w14:textId="77777777" w:rsidR="001E329E" w:rsidRPr="000A29C9" w:rsidRDefault="001E329E" w:rsidP="001E329E">
      <w:pPr>
        <w:jc w:val="both"/>
        <w:rPr>
          <w:rFonts w:ascii="Open Sans" w:hAnsi="Open Sans" w:cs="Open Sans"/>
          <w:sz w:val="24"/>
          <w:szCs w:val="24"/>
        </w:rPr>
      </w:pPr>
      <w:r w:rsidRPr="000A29C9">
        <w:rPr>
          <w:rFonts w:ascii="Open Sans" w:hAnsi="Open Sans" w:cs="Open Sans"/>
          <w:sz w:val="24"/>
          <w:szCs w:val="24"/>
        </w:rPr>
        <w:t xml:space="preserve">La </w:t>
      </w:r>
      <w:r>
        <w:rPr>
          <w:rFonts w:ascii="Open Sans" w:hAnsi="Open Sans" w:cs="Open Sans"/>
          <w:sz w:val="24"/>
          <w:szCs w:val="24"/>
        </w:rPr>
        <w:t>A</w:t>
      </w:r>
      <w:r w:rsidRPr="000A29C9">
        <w:rPr>
          <w:rFonts w:ascii="Open Sans" w:hAnsi="Open Sans" w:cs="Open Sans"/>
          <w:sz w:val="24"/>
          <w:szCs w:val="24"/>
        </w:rPr>
        <w:t>dministración Pública Estatal, cuenta con un código de ética cuyo objetivo general es regular el quehacer de los servidores públicos que la integran, con la finalidad de desempeñar con eficiencia y eficacia el trabajo encomendado realizarlo con honestidad, apego a la legalidad, vocación de servicio, respeto equidad, amabilidad, inclusión, tolerancia y no discriminación, tanto en el ambiente laboral, como con la ciudadanía en general.</w:t>
      </w:r>
    </w:p>
    <w:p w14:paraId="057C682B" w14:textId="166ADAFD" w:rsidR="001E329E" w:rsidRPr="000A29C9" w:rsidRDefault="001E329E" w:rsidP="001E329E">
      <w:pPr>
        <w:jc w:val="both"/>
        <w:rPr>
          <w:rFonts w:ascii="Open Sans" w:hAnsi="Open Sans" w:cs="Open Sans"/>
          <w:sz w:val="24"/>
          <w:szCs w:val="24"/>
          <w:lang w:val="es-ES"/>
        </w:rPr>
      </w:pPr>
      <w:r w:rsidRPr="000A29C9">
        <w:rPr>
          <w:rFonts w:ascii="Open Sans" w:hAnsi="Open Sans" w:cs="Open Sans"/>
          <w:sz w:val="24"/>
          <w:szCs w:val="24"/>
        </w:rPr>
        <w:t xml:space="preserve">Por ello conforme a lo establecido en </w:t>
      </w:r>
      <w:r w:rsidRPr="000A29C9">
        <w:rPr>
          <w:rFonts w:ascii="Open Sans" w:hAnsi="Open Sans" w:cs="Open Sans"/>
          <w:sz w:val="24"/>
          <w:szCs w:val="24"/>
          <w:lang w:val="es-ES"/>
        </w:rPr>
        <w:t xml:space="preserve"> el Acuerdo por el que se emite el Código de Ética de la Administración Pública Estatal publicado el 20 de mayo del 2022 en el Boletín Oficial del Gobierno del Estado de Baja California Sur y los Lineamientos Generales para la Integración y Funcionamiento de los Comités de Ética, la Secretaría de Seguridad Pública del Estado de Baja </w:t>
      </w:r>
      <w:r>
        <w:rPr>
          <w:rFonts w:ascii="Open Sans" w:hAnsi="Open Sans" w:cs="Open Sans"/>
          <w:sz w:val="24"/>
          <w:szCs w:val="24"/>
          <w:lang w:val="es-ES"/>
        </w:rPr>
        <w:t>C</w:t>
      </w:r>
      <w:r w:rsidRPr="000A29C9">
        <w:rPr>
          <w:rFonts w:ascii="Open Sans" w:hAnsi="Open Sans" w:cs="Open Sans"/>
          <w:sz w:val="24"/>
          <w:szCs w:val="24"/>
          <w:lang w:val="es-ES"/>
        </w:rPr>
        <w:t>alifornia Sur, ha elaborado el presente Plan Anual de Trabajo del Comité de Ética 202</w:t>
      </w:r>
      <w:r w:rsidR="00F52A2B">
        <w:rPr>
          <w:rFonts w:ascii="Open Sans" w:hAnsi="Open Sans" w:cs="Open Sans"/>
          <w:sz w:val="24"/>
          <w:szCs w:val="24"/>
          <w:lang w:val="es-ES"/>
        </w:rPr>
        <w:t>4</w:t>
      </w:r>
      <w:r w:rsidRPr="000A29C9">
        <w:rPr>
          <w:rFonts w:ascii="Open Sans" w:hAnsi="Open Sans" w:cs="Open Sans"/>
          <w:sz w:val="24"/>
          <w:szCs w:val="24"/>
          <w:lang w:val="es-ES"/>
        </w:rPr>
        <w:t xml:space="preserve">, para poner a consideración de los miembros las acciones que se llevaran a </w:t>
      </w:r>
      <w:r>
        <w:rPr>
          <w:rFonts w:ascii="Open Sans" w:hAnsi="Open Sans" w:cs="Open Sans"/>
          <w:sz w:val="24"/>
          <w:szCs w:val="24"/>
          <w:lang w:val="es-ES"/>
        </w:rPr>
        <w:t>cabo en el ejercicio</w:t>
      </w:r>
      <w:r w:rsidRPr="000A29C9">
        <w:rPr>
          <w:rFonts w:ascii="Open Sans" w:hAnsi="Open Sans" w:cs="Open Sans"/>
          <w:sz w:val="24"/>
          <w:szCs w:val="24"/>
          <w:lang w:val="es-ES"/>
        </w:rPr>
        <w:t xml:space="preserve"> 202</w:t>
      </w:r>
      <w:r w:rsidR="008856A6">
        <w:rPr>
          <w:rFonts w:ascii="Open Sans" w:hAnsi="Open Sans" w:cs="Open Sans"/>
          <w:sz w:val="24"/>
          <w:szCs w:val="24"/>
          <w:lang w:val="es-ES"/>
        </w:rPr>
        <w:t>5.</w:t>
      </w:r>
    </w:p>
    <w:p w14:paraId="10B4F3B2" w14:textId="77777777" w:rsidR="001E329E" w:rsidRDefault="001E329E" w:rsidP="001E329E">
      <w:pPr>
        <w:rPr>
          <w:rFonts w:ascii="Open Sans" w:hAnsi="Open Sans" w:cs="Open Sans"/>
          <w:sz w:val="24"/>
          <w:szCs w:val="24"/>
        </w:rPr>
      </w:pPr>
    </w:p>
    <w:p w14:paraId="08F59E60" w14:textId="77777777" w:rsidR="001E329E" w:rsidRPr="009E2424" w:rsidRDefault="001E329E" w:rsidP="001E329E">
      <w:pPr>
        <w:rPr>
          <w:sz w:val="18"/>
          <w:szCs w:val="18"/>
        </w:rPr>
      </w:pPr>
    </w:p>
    <w:p w14:paraId="51C990E1" w14:textId="77777777" w:rsidR="001E329E" w:rsidRDefault="001E329E" w:rsidP="001E329E">
      <w:pPr>
        <w:rPr>
          <w:sz w:val="18"/>
          <w:szCs w:val="18"/>
        </w:rPr>
      </w:pPr>
    </w:p>
    <w:p w14:paraId="6B5A9E6A" w14:textId="77777777" w:rsidR="001E329E" w:rsidRDefault="001E329E" w:rsidP="001E329E">
      <w:pPr>
        <w:spacing w:after="0"/>
        <w:rPr>
          <w:sz w:val="18"/>
          <w:szCs w:val="18"/>
        </w:rPr>
      </w:pPr>
    </w:p>
    <w:p w14:paraId="5A553200" w14:textId="77777777" w:rsidR="00F52A2B" w:rsidRPr="007E56C3" w:rsidRDefault="00F52A2B" w:rsidP="001E329E">
      <w:pPr>
        <w:spacing w:after="0"/>
        <w:rPr>
          <w:sz w:val="16"/>
          <w:szCs w:val="16"/>
        </w:rPr>
      </w:pPr>
    </w:p>
    <w:p w14:paraId="0E7C4AE3" w14:textId="77777777" w:rsidR="001E329E" w:rsidRDefault="001E329E" w:rsidP="001E329E">
      <w:pPr>
        <w:spacing w:after="0"/>
        <w:rPr>
          <w:b/>
          <w:bCs/>
          <w:sz w:val="16"/>
          <w:szCs w:val="16"/>
        </w:rPr>
      </w:pPr>
    </w:p>
    <w:p w14:paraId="51519C0A" w14:textId="77777777" w:rsidR="001E329E" w:rsidRDefault="001E329E" w:rsidP="001E329E">
      <w:pPr>
        <w:spacing w:after="0"/>
        <w:rPr>
          <w:b/>
          <w:bCs/>
          <w:sz w:val="16"/>
          <w:szCs w:val="16"/>
        </w:rPr>
      </w:pPr>
      <w:r>
        <w:rPr>
          <w:b/>
          <w:bCs/>
          <w:sz w:val="16"/>
          <w:szCs w:val="16"/>
        </w:rPr>
        <w:t>Presentó:</w:t>
      </w:r>
    </w:p>
    <w:p w14:paraId="42DC009A" w14:textId="77777777" w:rsidR="001E329E" w:rsidRPr="007E56C3" w:rsidRDefault="001E329E" w:rsidP="001E329E">
      <w:pPr>
        <w:spacing w:after="0"/>
        <w:rPr>
          <w:b/>
          <w:bCs/>
          <w:sz w:val="16"/>
          <w:szCs w:val="16"/>
        </w:rPr>
      </w:pPr>
      <w:r w:rsidRPr="007E56C3">
        <w:rPr>
          <w:b/>
          <w:bCs/>
          <w:sz w:val="16"/>
          <w:szCs w:val="16"/>
        </w:rPr>
        <w:t xml:space="preserve">Presidenta del Comité de Ética </w:t>
      </w:r>
    </w:p>
    <w:p w14:paraId="0D0FED0A" w14:textId="77777777" w:rsidR="001E329E" w:rsidRPr="007E56C3" w:rsidRDefault="001E329E" w:rsidP="001E329E">
      <w:pPr>
        <w:spacing w:after="0"/>
        <w:rPr>
          <w:sz w:val="16"/>
          <w:szCs w:val="16"/>
        </w:rPr>
      </w:pPr>
    </w:p>
    <w:p w14:paraId="37054AFC" w14:textId="77777777" w:rsidR="001E329E" w:rsidRDefault="001E329E" w:rsidP="001E329E">
      <w:pPr>
        <w:spacing w:after="0"/>
        <w:rPr>
          <w:rFonts w:ascii="Open Sans" w:hAnsi="Open Sans" w:cs="Open Sans"/>
          <w:bCs/>
          <w:color w:val="000000" w:themeColor="text1"/>
          <w:sz w:val="16"/>
          <w:szCs w:val="16"/>
        </w:rPr>
      </w:pPr>
      <w:r w:rsidRPr="007E56C3">
        <w:rPr>
          <w:rFonts w:ascii="Open Sans" w:hAnsi="Open Sans" w:cs="Open Sans"/>
          <w:bCs/>
          <w:color w:val="000000" w:themeColor="text1"/>
          <w:sz w:val="16"/>
          <w:szCs w:val="16"/>
        </w:rPr>
        <w:lastRenderedPageBreak/>
        <w:t>Lic. María Antonieta Guadalupe Salido Moreno</w:t>
      </w:r>
    </w:p>
    <w:p w14:paraId="096ED27B" w14:textId="77777777" w:rsidR="00F52A2B" w:rsidRDefault="00F52A2B" w:rsidP="001E329E">
      <w:pPr>
        <w:spacing w:after="0"/>
        <w:rPr>
          <w:rFonts w:ascii="Open Sans" w:hAnsi="Open Sans" w:cs="Open Sans"/>
          <w:bCs/>
          <w:color w:val="000000" w:themeColor="text1"/>
          <w:sz w:val="16"/>
          <w:szCs w:val="16"/>
        </w:rPr>
      </w:pPr>
    </w:p>
    <w:p w14:paraId="7B8D7419" w14:textId="77777777" w:rsidR="00F52A2B" w:rsidRDefault="00F52A2B" w:rsidP="001E329E">
      <w:pPr>
        <w:spacing w:after="0"/>
        <w:rPr>
          <w:rFonts w:ascii="Open Sans" w:hAnsi="Open Sans" w:cs="Open Sans"/>
          <w:bCs/>
          <w:color w:val="000000" w:themeColor="text1"/>
          <w:sz w:val="16"/>
          <w:szCs w:val="16"/>
        </w:rPr>
      </w:pPr>
    </w:p>
    <w:p w14:paraId="7CABE4DB" w14:textId="77777777" w:rsidR="00F52A2B" w:rsidRDefault="00F52A2B" w:rsidP="001E329E">
      <w:pPr>
        <w:spacing w:after="0"/>
        <w:rPr>
          <w:rFonts w:ascii="Open Sans" w:hAnsi="Open Sans" w:cs="Open Sans"/>
          <w:bCs/>
          <w:color w:val="000000" w:themeColor="text1"/>
          <w:sz w:val="16"/>
          <w:szCs w:val="16"/>
        </w:rPr>
      </w:pPr>
    </w:p>
    <w:tbl>
      <w:tblPr>
        <w:tblStyle w:val="Tablaconcuadrcula"/>
        <w:tblpPr w:leftFromText="141" w:rightFromText="141" w:vertAnchor="page" w:horzAnchor="margin" w:tblpY="3914"/>
        <w:tblW w:w="14572" w:type="dxa"/>
        <w:tblLayout w:type="fixed"/>
        <w:tblLook w:val="04A0" w:firstRow="1" w:lastRow="0" w:firstColumn="1" w:lastColumn="0" w:noHBand="0" w:noVBand="1"/>
      </w:tblPr>
      <w:tblGrid>
        <w:gridCol w:w="309"/>
        <w:gridCol w:w="3088"/>
        <w:gridCol w:w="4707"/>
        <w:gridCol w:w="1105"/>
        <w:gridCol w:w="1134"/>
        <w:gridCol w:w="2385"/>
        <w:gridCol w:w="1844"/>
      </w:tblGrid>
      <w:tr w:rsidR="00F52A2B" w:rsidRPr="00176D26" w14:paraId="0756E0BA" w14:textId="77777777" w:rsidTr="00F5017C">
        <w:trPr>
          <w:trHeight w:val="281"/>
        </w:trPr>
        <w:tc>
          <w:tcPr>
            <w:tcW w:w="309" w:type="dxa"/>
            <w:shd w:val="clear" w:color="auto" w:fill="000000" w:themeFill="text1"/>
          </w:tcPr>
          <w:p w14:paraId="7BB4C8D2" w14:textId="77777777" w:rsidR="00F52A2B" w:rsidRPr="00140E52" w:rsidRDefault="00F52A2B" w:rsidP="00F5017C">
            <w:pPr>
              <w:ind w:left="-120"/>
              <w:rPr>
                <w:color w:val="FFFFFF" w:themeColor="background1"/>
                <w:sz w:val="12"/>
                <w:szCs w:val="12"/>
              </w:rPr>
            </w:pPr>
            <w:r w:rsidRPr="00140E52">
              <w:rPr>
                <w:color w:val="FFFFFF" w:themeColor="background1"/>
                <w:sz w:val="12"/>
                <w:szCs w:val="12"/>
              </w:rPr>
              <w:t>No.</w:t>
            </w:r>
          </w:p>
        </w:tc>
        <w:tc>
          <w:tcPr>
            <w:tcW w:w="3088" w:type="dxa"/>
            <w:shd w:val="clear" w:color="auto" w:fill="000000" w:themeFill="text1"/>
          </w:tcPr>
          <w:p w14:paraId="618924FC" w14:textId="77777777" w:rsidR="00F52A2B" w:rsidRPr="00140E52" w:rsidRDefault="00F52A2B" w:rsidP="00F5017C">
            <w:pPr>
              <w:rPr>
                <w:color w:val="FFFFFF" w:themeColor="background1"/>
                <w:sz w:val="18"/>
                <w:szCs w:val="18"/>
              </w:rPr>
            </w:pPr>
            <w:r w:rsidRPr="00140E52">
              <w:rPr>
                <w:color w:val="FFFFFF" w:themeColor="background1"/>
                <w:sz w:val="18"/>
                <w:szCs w:val="18"/>
              </w:rPr>
              <w:t>objetivo</w:t>
            </w:r>
          </w:p>
        </w:tc>
        <w:tc>
          <w:tcPr>
            <w:tcW w:w="4707" w:type="dxa"/>
            <w:shd w:val="clear" w:color="auto" w:fill="000000" w:themeFill="text1"/>
          </w:tcPr>
          <w:p w14:paraId="655CCBC2" w14:textId="77777777" w:rsidR="00F52A2B" w:rsidRPr="00140E52" w:rsidRDefault="00F52A2B" w:rsidP="00F5017C">
            <w:pPr>
              <w:rPr>
                <w:color w:val="FFFFFF" w:themeColor="background1"/>
                <w:sz w:val="18"/>
                <w:szCs w:val="18"/>
              </w:rPr>
            </w:pPr>
            <w:r w:rsidRPr="00140E52">
              <w:rPr>
                <w:color w:val="FFFFFF" w:themeColor="background1"/>
                <w:sz w:val="18"/>
                <w:szCs w:val="18"/>
              </w:rPr>
              <w:t>Actividades o acciones de mejora</w:t>
            </w:r>
          </w:p>
        </w:tc>
        <w:tc>
          <w:tcPr>
            <w:tcW w:w="1105" w:type="dxa"/>
            <w:shd w:val="clear" w:color="auto" w:fill="000000" w:themeFill="text1"/>
          </w:tcPr>
          <w:p w14:paraId="3401C71D" w14:textId="77777777" w:rsidR="00F52A2B" w:rsidRPr="00140E52" w:rsidRDefault="00F52A2B" w:rsidP="00F5017C">
            <w:pPr>
              <w:rPr>
                <w:color w:val="FFFFFF" w:themeColor="background1"/>
                <w:sz w:val="18"/>
                <w:szCs w:val="18"/>
              </w:rPr>
            </w:pPr>
            <w:r w:rsidRPr="00140E52">
              <w:rPr>
                <w:color w:val="FFFFFF" w:themeColor="background1"/>
                <w:sz w:val="18"/>
                <w:szCs w:val="18"/>
              </w:rPr>
              <w:t xml:space="preserve">Inicio </w:t>
            </w:r>
          </w:p>
        </w:tc>
        <w:tc>
          <w:tcPr>
            <w:tcW w:w="1134" w:type="dxa"/>
            <w:shd w:val="clear" w:color="auto" w:fill="000000" w:themeFill="text1"/>
          </w:tcPr>
          <w:p w14:paraId="4340841E" w14:textId="77777777" w:rsidR="00F52A2B" w:rsidRPr="00140E52" w:rsidRDefault="00F52A2B" w:rsidP="00F5017C">
            <w:pPr>
              <w:rPr>
                <w:color w:val="FFFFFF" w:themeColor="background1"/>
                <w:sz w:val="18"/>
                <w:szCs w:val="18"/>
              </w:rPr>
            </w:pPr>
            <w:r w:rsidRPr="00140E52">
              <w:rPr>
                <w:color w:val="FFFFFF" w:themeColor="background1"/>
                <w:sz w:val="18"/>
                <w:szCs w:val="18"/>
              </w:rPr>
              <w:t>Término</w:t>
            </w:r>
          </w:p>
        </w:tc>
        <w:tc>
          <w:tcPr>
            <w:tcW w:w="2385" w:type="dxa"/>
            <w:shd w:val="clear" w:color="auto" w:fill="000000" w:themeFill="text1"/>
          </w:tcPr>
          <w:p w14:paraId="1D1951E9" w14:textId="77777777" w:rsidR="00F52A2B" w:rsidRPr="00140E52" w:rsidRDefault="00F52A2B" w:rsidP="00F5017C">
            <w:pPr>
              <w:rPr>
                <w:color w:val="FFFFFF" w:themeColor="background1"/>
                <w:sz w:val="18"/>
                <w:szCs w:val="18"/>
              </w:rPr>
            </w:pPr>
            <w:r w:rsidRPr="00140E52">
              <w:rPr>
                <w:color w:val="FFFFFF" w:themeColor="background1"/>
                <w:sz w:val="18"/>
                <w:szCs w:val="18"/>
              </w:rPr>
              <w:t>Unidad Adm</w:t>
            </w:r>
            <w:r>
              <w:rPr>
                <w:color w:val="FFFFFF" w:themeColor="background1"/>
                <w:sz w:val="18"/>
                <w:szCs w:val="18"/>
              </w:rPr>
              <w:t xml:space="preserve">inistrativa </w:t>
            </w:r>
          </w:p>
        </w:tc>
        <w:tc>
          <w:tcPr>
            <w:tcW w:w="1844" w:type="dxa"/>
            <w:shd w:val="clear" w:color="auto" w:fill="000000" w:themeFill="text1"/>
          </w:tcPr>
          <w:p w14:paraId="6F681768" w14:textId="77777777" w:rsidR="00F52A2B" w:rsidRPr="00140E52" w:rsidRDefault="00F52A2B" w:rsidP="00F5017C">
            <w:pPr>
              <w:rPr>
                <w:color w:val="FFFFFF" w:themeColor="background1"/>
                <w:sz w:val="18"/>
                <w:szCs w:val="18"/>
              </w:rPr>
            </w:pPr>
            <w:r w:rsidRPr="00140E52">
              <w:rPr>
                <w:color w:val="FFFFFF" w:themeColor="background1"/>
                <w:sz w:val="18"/>
                <w:szCs w:val="18"/>
              </w:rPr>
              <w:t xml:space="preserve">Medio de Verificación </w:t>
            </w:r>
          </w:p>
        </w:tc>
      </w:tr>
      <w:tr w:rsidR="00F52A2B" w:rsidRPr="00176D26" w14:paraId="6524FADB" w14:textId="77777777" w:rsidTr="00F5017C">
        <w:trPr>
          <w:trHeight w:val="1109"/>
        </w:trPr>
        <w:tc>
          <w:tcPr>
            <w:tcW w:w="309" w:type="dxa"/>
          </w:tcPr>
          <w:p w14:paraId="2AF80149" w14:textId="77777777" w:rsidR="00F52A2B" w:rsidRDefault="00F52A2B" w:rsidP="00F5017C">
            <w:pPr>
              <w:pStyle w:val="Prrafodelista"/>
              <w:rPr>
                <w:sz w:val="18"/>
                <w:szCs w:val="18"/>
              </w:rPr>
            </w:pPr>
            <w:r>
              <w:rPr>
                <w:sz w:val="18"/>
                <w:szCs w:val="18"/>
              </w:rPr>
              <w:t>11</w:t>
            </w:r>
          </w:p>
          <w:p w14:paraId="07560C77" w14:textId="77777777" w:rsidR="00F52A2B" w:rsidRPr="000A29C9" w:rsidRDefault="00F52A2B" w:rsidP="00F5017C">
            <w:pPr>
              <w:rPr>
                <w:lang w:eastAsia="es-ES"/>
              </w:rPr>
            </w:pPr>
            <w:r>
              <w:rPr>
                <w:lang w:eastAsia="es-ES"/>
              </w:rPr>
              <w:t>1</w:t>
            </w:r>
          </w:p>
        </w:tc>
        <w:tc>
          <w:tcPr>
            <w:tcW w:w="3088" w:type="dxa"/>
          </w:tcPr>
          <w:p w14:paraId="57049C92" w14:textId="77777777" w:rsidR="00F52A2B" w:rsidRDefault="00F52A2B" w:rsidP="00F5017C">
            <w:pPr>
              <w:jc w:val="both"/>
              <w:rPr>
                <w:sz w:val="18"/>
                <w:szCs w:val="18"/>
              </w:rPr>
            </w:pPr>
          </w:p>
          <w:p w14:paraId="0B28D486" w14:textId="0D0A1642" w:rsidR="00F52A2B" w:rsidRPr="00176D26" w:rsidRDefault="00F52A2B" w:rsidP="00F5017C">
            <w:pPr>
              <w:jc w:val="both"/>
              <w:rPr>
                <w:sz w:val="18"/>
                <w:szCs w:val="18"/>
              </w:rPr>
            </w:pPr>
            <w:r>
              <w:rPr>
                <w:sz w:val="18"/>
                <w:szCs w:val="18"/>
              </w:rPr>
              <w:t xml:space="preserve"> “Bases de integración, organización y funcionamiento del Comité de Ética”</w:t>
            </w:r>
          </w:p>
        </w:tc>
        <w:tc>
          <w:tcPr>
            <w:tcW w:w="4707" w:type="dxa"/>
          </w:tcPr>
          <w:p w14:paraId="66F76886" w14:textId="77777777" w:rsidR="00F52A2B" w:rsidRDefault="00F52A2B" w:rsidP="00F5017C">
            <w:pPr>
              <w:jc w:val="both"/>
              <w:rPr>
                <w:sz w:val="18"/>
                <w:szCs w:val="18"/>
              </w:rPr>
            </w:pPr>
          </w:p>
          <w:p w14:paraId="386DE15C" w14:textId="39C5B642" w:rsidR="00F52A2B" w:rsidRPr="00176D26" w:rsidRDefault="00F52A2B" w:rsidP="00F52A2B">
            <w:pPr>
              <w:jc w:val="both"/>
              <w:rPr>
                <w:sz w:val="18"/>
                <w:szCs w:val="18"/>
              </w:rPr>
            </w:pPr>
            <w:r>
              <w:rPr>
                <w:sz w:val="18"/>
                <w:szCs w:val="18"/>
              </w:rPr>
              <w:t>Actualización y Publicación de las bases de integración que deberá estar apegado a los lineamientos Generales para la integración y Funcionamiento de los Comités de Ética.</w:t>
            </w:r>
          </w:p>
        </w:tc>
        <w:tc>
          <w:tcPr>
            <w:tcW w:w="1105" w:type="dxa"/>
          </w:tcPr>
          <w:p w14:paraId="6A6B679A" w14:textId="77777777" w:rsidR="00F52A2B" w:rsidRPr="00176D26" w:rsidRDefault="00F52A2B" w:rsidP="00F5017C">
            <w:pPr>
              <w:rPr>
                <w:sz w:val="18"/>
                <w:szCs w:val="18"/>
              </w:rPr>
            </w:pPr>
            <w:r>
              <w:rPr>
                <w:sz w:val="18"/>
                <w:szCs w:val="18"/>
              </w:rPr>
              <w:t xml:space="preserve">Enero </w:t>
            </w:r>
          </w:p>
        </w:tc>
        <w:tc>
          <w:tcPr>
            <w:tcW w:w="1134" w:type="dxa"/>
          </w:tcPr>
          <w:p w14:paraId="35726F57" w14:textId="67265BF9" w:rsidR="00F52A2B" w:rsidRDefault="00F52A2B" w:rsidP="00F5017C">
            <w:pPr>
              <w:rPr>
                <w:sz w:val="18"/>
                <w:szCs w:val="18"/>
              </w:rPr>
            </w:pPr>
            <w:r>
              <w:rPr>
                <w:sz w:val="18"/>
                <w:szCs w:val="18"/>
              </w:rPr>
              <w:t>Diciembre</w:t>
            </w:r>
          </w:p>
          <w:p w14:paraId="022621C5" w14:textId="77777777" w:rsidR="00F52A2B" w:rsidRPr="00176D26" w:rsidRDefault="00F52A2B" w:rsidP="00F5017C">
            <w:pPr>
              <w:rPr>
                <w:sz w:val="18"/>
                <w:szCs w:val="18"/>
              </w:rPr>
            </w:pPr>
            <w:r>
              <w:rPr>
                <w:sz w:val="18"/>
                <w:szCs w:val="18"/>
              </w:rPr>
              <w:t xml:space="preserve"> </w:t>
            </w:r>
          </w:p>
        </w:tc>
        <w:tc>
          <w:tcPr>
            <w:tcW w:w="2385" w:type="dxa"/>
          </w:tcPr>
          <w:p w14:paraId="0BEA28C9" w14:textId="77777777" w:rsidR="00F52A2B" w:rsidRPr="00176D26" w:rsidRDefault="00F52A2B" w:rsidP="00F5017C">
            <w:pPr>
              <w:rPr>
                <w:sz w:val="18"/>
                <w:szCs w:val="18"/>
              </w:rPr>
            </w:pPr>
            <w:r>
              <w:rPr>
                <w:sz w:val="18"/>
                <w:szCs w:val="18"/>
              </w:rPr>
              <w:t xml:space="preserve">Dirección Jurídica  </w:t>
            </w:r>
          </w:p>
        </w:tc>
        <w:tc>
          <w:tcPr>
            <w:tcW w:w="1844" w:type="dxa"/>
          </w:tcPr>
          <w:p w14:paraId="312B4C90" w14:textId="77777777" w:rsidR="00F52A2B" w:rsidRPr="00176D26" w:rsidRDefault="00F52A2B" w:rsidP="00F5017C">
            <w:pPr>
              <w:rPr>
                <w:sz w:val="18"/>
                <w:szCs w:val="18"/>
              </w:rPr>
            </w:pPr>
            <w:r>
              <w:rPr>
                <w:sz w:val="18"/>
                <w:szCs w:val="18"/>
              </w:rPr>
              <w:t xml:space="preserve">Publicación en la Página de internet de la Secretaría </w:t>
            </w:r>
          </w:p>
        </w:tc>
      </w:tr>
      <w:tr w:rsidR="00F52A2B" w:rsidRPr="00176D26" w14:paraId="03E47568" w14:textId="77777777" w:rsidTr="00F5017C">
        <w:trPr>
          <w:trHeight w:val="1109"/>
        </w:trPr>
        <w:tc>
          <w:tcPr>
            <w:tcW w:w="309" w:type="dxa"/>
          </w:tcPr>
          <w:p w14:paraId="56B88A3F" w14:textId="77777777" w:rsidR="00F52A2B" w:rsidRPr="00176D26" w:rsidRDefault="00F52A2B" w:rsidP="00F5017C">
            <w:pPr>
              <w:rPr>
                <w:sz w:val="18"/>
                <w:szCs w:val="18"/>
              </w:rPr>
            </w:pPr>
            <w:r>
              <w:rPr>
                <w:sz w:val="18"/>
                <w:szCs w:val="18"/>
              </w:rPr>
              <w:t>2</w:t>
            </w:r>
          </w:p>
        </w:tc>
        <w:tc>
          <w:tcPr>
            <w:tcW w:w="3088" w:type="dxa"/>
          </w:tcPr>
          <w:p w14:paraId="009C7D97" w14:textId="70EDD1D9" w:rsidR="00F52A2B" w:rsidRPr="00176D26" w:rsidRDefault="00F52A2B" w:rsidP="00F5017C">
            <w:pPr>
              <w:jc w:val="both"/>
              <w:rPr>
                <w:sz w:val="18"/>
                <w:szCs w:val="18"/>
              </w:rPr>
            </w:pPr>
            <w:r w:rsidRPr="00176D26">
              <w:rPr>
                <w:sz w:val="18"/>
                <w:szCs w:val="18"/>
              </w:rPr>
              <w:t xml:space="preserve">Difusión del Código de Ética y de Conducta </w:t>
            </w:r>
          </w:p>
          <w:p w14:paraId="0E8AB026" w14:textId="77777777" w:rsidR="00F52A2B" w:rsidRPr="00176D26" w:rsidRDefault="00F52A2B" w:rsidP="00F5017C">
            <w:pPr>
              <w:jc w:val="both"/>
              <w:rPr>
                <w:sz w:val="18"/>
                <w:szCs w:val="18"/>
              </w:rPr>
            </w:pPr>
          </w:p>
        </w:tc>
        <w:tc>
          <w:tcPr>
            <w:tcW w:w="4707" w:type="dxa"/>
          </w:tcPr>
          <w:p w14:paraId="79944E4F" w14:textId="77777777" w:rsidR="00F52A2B" w:rsidRPr="00176D26" w:rsidRDefault="00F52A2B" w:rsidP="00F5017C">
            <w:pPr>
              <w:jc w:val="both"/>
              <w:rPr>
                <w:sz w:val="18"/>
                <w:szCs w:val="18"/>
              </w:rPr>
            </w:pPr>
            <w:r w:rsidRPr="00176D26">
              <w:rPr>
                <w:sz w:val="18"/>
                <w:szCs w:val="18"/>
              </w:rPr>
              <w:t>Dar a conocer por divers</w:t>
            </w:r>
            <w:r>
              <w:rPr>
                <w:sz w:val="18"/>
                <w:szCs w:val="18"/>
              </w:rPr>
              <w:t xml:space="preserve">as vías </w:t>
            </w:r>
            <w:r w:rsidRPr="00176D26">
              <w:rPr>
                <w:sz w:val="18"/>
                <w:szCs w:val="18"/>
              </w:rPr>
              <w:t xml:space="preserve">de comunicación el Código de Ética y de Conducta </w:t>
            </w:r>
          </w:p>
        </w:tc>
        <w:tc>
          <w:tcPr>
            <w:tcW w:w="1105" w:type="dxa"/>
          </w:tcPr>
          <w:p w14:paraId="498D345B" w14:textId="77777777" w:rsidR="00F52A2B" w:rsidRPr="00176D26" w:rsidRDefault="00F52A2B" w:rsidP="00F5017C">
            <w:pPr>
              <w:rPr>
                <w:sz w:val="18"/>
                <w:szCs w:val="18"/>
              </w:rPr>
            </w:pPr>
            <w:r>
              <w:rPr>
                <w:sz w:val="18"/>
                <w:szCs w:val="18"/>
              </w:rPr>
              <w:t xml:space="preserve">Enero </w:t>
            </w:r>
          </w:p>
        </w:tc>
        <w:tc>
          <w:tcPr>
            <w:tcW w:w="1134" w:type="dxa"/>
          </w:tcPr>
          <w:p w14:paraId="006E90CA" w14:textId="77777777" w:rsidR="005003A8" w:rsidRDefault="005003A8" w:rsidP="005003A8">
            <w:pPr>
              <w:rPr>
                <w:sz w:val="18"/>
                <w:szCs w:val="18"/>
              </w:rPr>
            </w:pPr>
            <w:r>
              <w:rPr>
                <w:sz w:val="18"/>
                <w:szCs w:val="18"/>
              </w:rPr>
              <w:t>Diciembre</w:t>
            </w:r>
          </w:p>
          <w:p w14:paraId="491E6EAF" w14:textId="2E86B22F" w:rsidR="00F52A2B" w:rsidRPr="00176D26" w:rsidRDefault="00F52A2B" w:rsidP="00F5017C">
            <w:pPr>
              <w:rPr>
                <w:sz w:val="18"/>
                <w:szCs w:val="18"/>
              </w:rPr>
            </w:pPr>
          </w:p>
        </w:tc>
        <w:tc>
          <w:tcPr>
            <w:tcW w:w="2385" w:type="dxa"/>
          </w:tcPr>
          <w:p w14:paraId="2F89116F" w14:textId="77777777" w:rsidR="00F52A2B" w:rsidRPr="00176D26" w:rsidRDefault="00F52A2B" w:rsidP="00F5017C">
            <w:pPr>
              <w:rPr>
                <w:sz w:val="18"/>
                <w:szCs w:val="18"/>
              </w:rPr>
            </w:pPr>
            <w:r w:rsidRPr="00176D26">
              <w:rPr>
                <w:sz w:val="18"/>
                <w:szCs w:val="18"/>
              </w:rPr>
              <w:t xml:space="preserve">Dirección General de Admón. y Finanzas, OIC. </w:t>
            </w:r>
          </w:p>
        </w:tc>
        <w:tc>
          <w:tcPr>
            <w:tcW w:w="1844" w:type="dxa"/>
          </w:tcPr>
          <w:p w14:paraId="386E8B58" w14:textId="6E9863CC" w:rsidR="00F52A2B" w:rsidRPr="00176D26" w:rsidRDefault="00F52A2B" w:rsidP="00F5017C">
            <w:pPr>
              <w:rPr>
                <w:sz w:val="18"/>
                <w:szCs w:val="18"/>
              </w:rPr>
            </w:pPr>
            <w:r w:rsidRPr="00176D26">
              <w:rPr>
                <w:sz w:val="18"/>
                <w:szCs w:val="18"/>
              </w:rPr>
              <w:t>Folletos, publicación en página oficial</w:t>
            </w:r>
            <w:r>
              <w:rPr>
                <w:sz w:val="18"/>
                <w:szCs w:val="18"/>
              </w:rPr>
              <w:t>, cualquier otro documento que acredite su conocimiento.</w:t>
            </w:r>
          </w:p>
        </w:tc>
      </w:tr>
      <w:tr w:rsidR="00F52A2B" w:rsidRPr="00176D26" w14:paraId="1D7462DD" w14:textId="77777777" w:rsidTr="00F5017C">
        <w:trPr>
          <w:trHeight w:val="262"/>
        </w:trPr>
        <w:tc>
          <w:tcPr>
            <w:tcW w:w="309" w:type="dxa"/>
          </w:tcPr>
          <w:p w14:paraId="6E78C05D" w14:textId="77777777" w:rsidR="00F52A2B" w:rsidRPr="00176D26" w:rsidRDefault="00F52A2B" w:rsidP="00F5017C">
            <w:pPr>
              <w:rPr>
                <w:sz w:val="18"/>
                <w:szCs w:val="18"/>
              </w:rPr>
            </w:pPr>
            <w:r>
              <w:rPr>
                <w:sz w:val="18"/>
                <w:szCs w:val="18"/>
              </w:rPr>
              <w:t>3</w:t>
            </w:r>
          </w:p>
        </w:tc>
        <w:tc>
          <w:tcPr>
            <w:tcW w:w="3088" w:type="dxa"/>
          </w:tcPr>
          <w:p w14:paraId="2978A8B9" w14:textId="77777777" w:rsidR="00F52A2B" w:rsidRPr="00176D26" w:rsidRDefault="00F52A2B" w:rsidP="00F5017C">
            <w:pPr>
              <w:jc w:val="both"/>
              <w:rPr>
                <w:sz w:val="18"/>
                <w:szCs w:val="18"/>
              </w:rPr>
            </w:pPr>
            <w:r w:rsidRPr="00176D26">
              <w:rPr>
                <w:sz w:val="18"/>
                <w:szCs w:val="18"/>
              </w:rPr>
              <w:t>Reafirmar el compromiso de cumplir con el código de ética y el de conducta</w:t>
            </w:r>
          </w:p>
        </w:tc>
        <w:tc>
          <w:tcPr>
            <w:tcW w:w="4707" w:type="dxa"/>
          </w:tcPr>
          <w:p w14:paraId="14ED7B21" w14:textId="77777777" w:rsidR="00F52A2B" w:rsidRPr="00176D26" w:rsidRDefault="00F52A2B" w:rsidP="00F5017C">
            <w:pPr>
              <w:rPr>
                <w:sz w:val="18"/>
                <w:szCs w:val="18"/>
              </w:rPr>
            </w:pPr>
            <w:r w:rsidRPr="00176D26">
              <w:rPr>
                <w:sz w:val="18"/>
                <w:szCs w:val="18"/>
              </w:rPr>
              <w:t>Solicitar por escrito al personal la aceptación formal y el compromiso de cumplir con el código de ética y el de conducta</w:t>
            </w:r>
            <w:r>
              <w:rPr>
                <w:sz w:val="18"/>
                <w:szCs w:val="18"/>
              </w:rPr>
              <w:t>.</w:t>
            </w:r>
          </w:p>
        </w:tc>
        <w:tc>
          <w:tcPr>
            <w:tcW w:w="1105" w:type="dxa"/>
          </w:tcPr>
          <w:p w14:paraId="7599641F" w14:textId="77777777" w:rsidR="00F52A2B" w:rsidRPr="00176D26" w:rsidRDefault="00F52A2B" w:rsidP="00F5017C">
            <w:pPr>
              <w:rPr>
                <w:sz w:val="18"/>
                <w:szCs w:val="18"/>
              </w:rPr>
            </w:pPr>
            <w:r>
              <w:rPr>
                <w:sz w:val="18"/>
                <w:szCs w:val="18"/>
              </w:rPr>
              <w:t xml:space="preserve">Enero </w:t>
            </w:r>
          </w:p>
        </w:tc>
        <w:tc>
          <w:tcPr>
            <w:tcW w:w="1134" w:type="dxa"/>
          </w:tcPr>
          <w:p w14:paraId="18A2EFE0" w14:textId="7F9DED78" w:rsidR="00F52A2B" w:rsidRPr="00176D26" w:rsidRDefault="005003A8" w:rsidP="00F5017C">
            <w:pPr>
              <w:rPr>
                <w:sz w:val="18"/>
                <w:szCs w:val="18"/>
              </w:rPr>
            </w:pPr>
            <w:r>
              <w:rPr>
                <w:sz w:val="18"/>
                <w:szCs w:val="18"/>
              </w:rPr>
              <w:t>diciembre</w:t>
            </w:r>
          </w:p>
        </w:tc>
        <w:tc>
          <w:tcPr>
            <w:tcW w:w="2385" w:type="dxa"/>
          </w:tcPr>
          <w:p w14:paraId="3DD92C88" w14:textId="77777777" w:rsidR="00F52A2B" w:rsidRPr="00176D26" w:rsidRDefault="00F52A2B" w:rsidP="00F5017C">
            <w:pPr>
              <w:rPr>
                <w:sz w:val="18"/>
                <w:szCs w:val="18"/>
              </w:rPr>
            </w:pPr>
            <w:r w:rsidRPr="00176D26">
              <w:rPr>
                <w:sz w:val="18"/>
                <w:szCs w:val="18"/>
              </w:rPr>
              <w:t>D</w:t>
            </w:r>
            <w:r>
              <w:rPr>
                <w:sz w:val="18"/>
                <w:szCs w:val="18"/>
              </w:rPr>
              <w:t>irección de</w:t>
            </w:r>
            <w:r w:rsidRPr="00176D26">
              <w:rPr>
                <w:sz w:val="18"/>
                <w:szCs w:val="18"/>
              </w:rPr>
              <w:t xml:space="preserve"> Recursos Humanos.</w:t>
            </w:r>
          </w:p>
        </w:tc>
        <w:tc>
          <w:tcPr>
            <w:tcW w:w="1844" w:type="dxa"/>
          </w:tcPr>
          <w:p w14:paraId="4F8E342C" w14:textId="77777777" w:rsidR="00F52A2B" w:rsidRPr="00176D26" w:rsidRDefault="00F52A2B" w:rsidP="00F5017C">
            <w:pPr>
              <w:rPr>
                <w:sz w:val="18"/>
                <w:szCs w:val="18"/>
              </w:rPr>
            </w:pPr>
            <w:r w:rsidRPr="00176D26">
              <w:rPr>
                <w:sz w:val="18"/>
                <w:szCs w:val="18"/>
              </w:rPr>
              <w:t>Reporte, circular, oficios de cartas compromiso firmadas por el personal.</w:t>
            </w:r>
          </w:p>
        </w:tc>
      </w:tr>
      <w:tr w:rsidR="00F52A2B" w:rsidRPr="00176D26" w14:paraId="0B977F6E" w14:textId="77777777" w:rsidTr="00F5017C">
        <w:trPr>
          <w:trHeight w:val="277"/>
        </w:trPr>
        <w:tc>
          <w:tcPr>
            <w:tcW w:w="309" w:type="dxa"/>
          </w:tcPr>
          <w:p w14:paraId="15017AD3" w14:textId="77777777" w:rsidR="00F52A2B" w:rsidRPr="00176D26" w:rsidRDefault="00F52A2B" w:rsidP="00F5017C">
            <w:pPr>
              <w:rPr>
                <w:sz w:val="18"/>
                <w:szCs w:val="18"/>
              </w:rPr>
            </w:pPr>
            <w:r>
              <w:rPr>
                <w:sz w:val="18"/>
                <w:szCs w:val="18"/>
              </w:rPr>
              <w:t>4</w:t>
            </w:r>
          </w:p>
        </w:tc>
        <w:tc>
          <w:tcPr>
            <w:tcW w:w="3088" w:type="dxa"/>
          </w:tcPr>
          <w:p w14:paraId="74D1AF84" w14:textId="77777777" w:rsidR="00F52A2B" w:rsidRPr="00176D26" w:rsidRDefault="00F52A2B" w:rsidP="00F5017C">
            <w:pPr>
              <w:jc w:val="both"/>
              <w:rPr>
                <w:sz w:val="18"/>
                <w:szCs w:val="18"/>
              </w:rPr>
            </w:pPr>
            <w:r w:rsidRPr="00176D26">
              <w:rPr>
                <w:sz w:val="18"/>
                <w:szCs w:val="18"/>
              </w:rPr>
              <w:t>Ratificar y difundir el procedimiento para vigilar, detectar, investigar y documentar las posibles violaciones a los valores éticos y a las normas de conducta.</w:t>
            </w:r>
          </w:p>
        </w:tc>
        <w:tc>
          <w:tcPr>
            <w:tcW w:w="4707" w:type="dxa"/>
          </w:tcPr>
          <w:p w14:paraId="2B474401" w14:textId="6643C586" w:rsidR="00F52A2B" w:rsidRPr="00176D26" w:rsidRDefault="005003A8" w:rsidP="00F5017C">
            <w:pPr>
              <w:rPr>
                <w:sz w:val="18"/>
                <w:szCs w:val="18"/>
              </w:rPr>
            </w:pPr>
            <w:r>
              <w:rPr>
                <w:sz w:val="18"/>
                <w:szCs w:val="18"/>
              </w:rPr>
              <w:t>Difusión del</w:t>
            </w:r>
            <w:r w:rsidR="00F52A2B" w:rsidRPr="00176D26">
              <w:rPr>
                <w:sz w:val="18"/>
                <w:szCs w:val="18"/>
              </w:rPr>
              <w:t xml:space="preserve"> procedimiento para vigilar, detectar, investigar y documentar las violaciones a los valores éticos y a las normas de conducta.</w:t>
            </w:r>
          </w:p>
        </w:tc>
        <w:tc>
          <w:tcPr>
            <w:tcW w:w="1105" w:type="dxa"/>
          </w:tcPr>
          <w:p w14:paraId="6808A72A" w14:textId="77777777" w:rsidR="00F52A2B" w:rsidRPr="00176D26" w:rsidRDefault="00F52A2B" w:rsidP="00F5017C">
            <w:pPr>
              <w:rPr>
                <w:sz w:val="18"/>
                <w:szCs w:val="18"/>
              </w:rPr>
            </w:pPr>
            <w:r>
              <w:rPr>
                <w:sz w:val="18"/>
                <w:szCs w:val="18"/>
              </w:rPr>
              <w:t>enero</w:t>
            </w:r>
          </w:p>
        </w:tc>
        <w:tc>
          <w:tcPr>
            <w:tcW w:w="1134" w:type="dxa"/>
          </w:tcPr>
          <w:p w14:paraId="2CB55573" w14:textId="77777777" w:rsidR="005003A8" w:rsidRDefault="005003A8" w:rsidP="005003A8">
            <w:pPr>
              <w:rPr>
                <w:sz w:val="18"/>
                <w:szCs w:val="18"/>
              </w:rPr>
            </w:pPr>
            <w:r>
              <w:rPr>
                <w:sz w:val="18"/>
                <w:szCs w:val="18"/>
              </w:rPr>
              <w:t>Diciembre</w:t>
            </w:r>
          </w:p>
          <w:p w14:paraId="74A474B9" w14:textId="77777777" w:rsidR="00F52A2B" w:rsidRPr="00176D26" w:rsidRDefault="00F52A2B" w:rsidP="00F5017C">
            <w:pPr>
              <w:rPr>
                <w:sz w:val="18"/>
                <w:szCs w:val="18"/>
              </w:rPr>
            </w:pPr>
          </w:p>
        </w:tc>
        <w:tc>
          <w:tcPr>
            <w:tcW w:w="2385" w:type="dxa"/>
          </w:tcPr>
          <w:p w14:paraId="641EDD55" w14:textId="77777777" w:rsidR="00F52A2B" w:rsidRPr="00176D26" w:rsidRDefault="00F52A2B" w:rsidP="00F5017C">
            <w:pPr>
              <w:rPr>
                <w:sz w:val="18"/>
                <w:szCs w:val="18"/>
              </w:rPr>
            </w:pPr>
            <w:r w:rsidRPr="00176D26">
              <w:rPr>
                <w:sz w:val="18"/>
                <w:szCs w:val="18"/>
              </w:rPr>
              <w:t xml:space="preserve">Comité de Ética </w:t>
            </w:r>
          </w:p>
        </w:tc>
        <w:tc>
          <w:tcPr>
            <w:tcW w:w="1844" w:type="dxa"/>
          </w:tcPr>
          <w:p w14:paraId="0F1DF6F3" w14:textId="77777777" w:rsidR="00F52A2B" w:rsidRPr="00176D26" w:rsidRDefault="00F52A2B" w:rsidP="00F5017C">
            <w:pPr>
              <w:rPr>
                <w:sz w:val="18"/>
                <w:szCs w:val="18"/>
              </w:rPr>
            </w:pPr>
            <w:r w:rsidRPr="00176D26">
              <w:rPr>
                <w:sz w:val="18"/>
                <w:szCs w:val="18"/>
              </w:rPr>
              <w:t>Procedimiento para documentar las violaciones a los valores éticos y normas de conducta.</w:t>
            </w:r>
          </w:p>
        </w:tc>
      </w:tr>
      <w:tr w:rsidR="00F52A2B" w:rsidRPr="00176D26" w14:paraId="0913C01F" w14:textId="77777777" w:rsidTr="00F5017C">
        <w:trPr>
          <w:trHeight w:val="262"/>
        </w:trPr>
        <w:tc>
          <w:tcPr>
            <w:tcW w:w="309" w:type="dxa"/>
          </w:tcPr>
          <w:p w14:paraId="4E004673" w14:textId="77777777" w:rsidR="00F52A2B" w:rsidRPr="00176D26" w:rsidRDefault="00F52A2B" w:rsidP="00F5017C">
            <w:pPr>
              <w:rPr>
                <w:sz w:val="18"/>
                <w:szCs w:val="18"/>
              </w:rPr>
            </w:pPr>
            <w:r>
              <w:rPr>
                <w:sz w:val="18"/>
                <w:szCs w:val="18"/>
              </w:rPr>
              <w:t>5</w:t>
            </w:r>
          </w:p>
        </w:tc>
        <w:tc>
          <w:tcPr>
            <w:tcW w:w="3088" w:type="dxa"/>
          </w:tcPr>
          <w:p w14:paraId="7B9B790C" w14:textId="77777777" w:rsidR="00F52A2B" w:rsidRPr="00176D26" w:rsidRDefault="00F52A2B" w:rsidP="00F5017C">
            <w:pPr>
              <w:jc w:val="both"/>
              <w:rPr>
                <w:sz w:val="18"/>
                <w:szCs w:val="18"/>
              </w:rPr>
            </w:pPr>
            <w:r w:rsidRPr="00176D26">
              <w:rPr>
                <w:sz w:val="18"/>
                <w:szCs w:val="18"/>
              </w:rPr>
              <w:t xml:space="preserve">Crear </w:t>
            </w:r>
            <w:r>
              <w:rPr>
                <w:sz w:val="18"/>
                <w:szCs w:val="18"/>
              </w:rPr>
              <w:t xml:space="preserve">portal y </w:t>
            </w:r>
            <w:r w:rsidRPr="00176D26">
              <w:rPr>
                <w:sz w:val="18"/>
                <w:szCs w:val="18"/>
              </w:rPr>
              <w:t>medios de comunicación para recibir denuncias de posibles violaciones a los valores éticos y a las normas de conducta de los Servidores Públicos.</w:t>
            </w:r>
          </w:p>
        </w:tc>
        <w:tc>
          <w:tcPr>
            <w:tcW w:w="4707" w:type="dxa"/>
          </w:tcPr>
          <w:p w14:paraId="167FC84F" w14:textId="77777777" w:rsidR="00F52A2B" w:rsidRPr="00176D26" w:rsidRDefault="00F52A2B" w:rsidP="00F5017C">
            <w:pPr>
              <w:rPr>
                <w:sz w:val="18"/>
                <w:szCs w:val="18"/>
              </w:rPr>
            </w:pPr>
            <w:r w:rsidRPr="00176D26">
              <w:rPr>
                <w:sz w:val="18"/>
                <w:szCs w:val="18"/>
              </w:rPr>
              <w:t xml:space="preserve">Creación de </w:t>
            </w:r>
            <w:r>
              <w:rPr>
                <w:sz w:val="18"/>
                <w:szCs w:val="18"/>
              </w:rPr>
              <w:t xml:space="preserve">micrositio, </w:t>
            </w:r>
            <w:r w:rsidRPr="00176D26">
              <w:rPr>
                <w:sz w:val="18"/>
                <w:szCs w:val="18"/>
              </w:rPr>
              <w:t>correo y acceso vía telefónica para atención de denuncias</w:t>
            </w:r>
          </w:p>
        </w:tc>
        <w:tc>
          <w:tcPr>
            <w:tcW w:w="1105" w:type="dxa"/>
          </w:tcPr>
          <w:p w14:paraId="3F34376C" w14:textId="77777777" w:rsidR="00F52A2B" w:rsidRPr="00176D26" w:rsidRDefault="00F52A2B" w:rsidP="00F5017C">
            <w:pPr>
              <w:rPr>
                <w:sz w:val="18"/>
                <w:szCs w:val="18"/>
              </w:rPr>
            </w:pPr>
            <w:r>
              <w:rPr>
                <w:sz w:val="18"/>
                <w:szCs w:val="18"/>
              </w:rPr>
              <w:t>enero</w:t>
            </w:r>
          </w:p>
        </w:tc>
        <w:tc>
          <w:tcPr>
            <w:tcW w:w="1134" w:type="dxa"/>
          </w:tcPr>
          <w:p w14:paraId="4D4EB6BE" w14:textId="77777777" w:rsidR="005003A8" w:rsidRDefault="005003A8" w:rsidP="005003A8">
            <w:pPr>
              <w:rPr>
                <w:sz w:val="18"/>
                <w:szCs w:val="18"/>
              </w:rPr>
            </w:pPr>
            <w:r>
              <w:rPr>
                <w:sz w:val="18"/>
                <w:szCs w:val="18"/>
              </w:rPr>
              <w:t>Diciembre</w:t>
            </w:r>
          </w:p>
          <w:p w14:paraId="76AF1F8D" w14:textId="439BDBDE" w:rsidR="00F52A2B" w:rsidRPr="00176D26" w:rsidRDefault="00F52A2B" w:rsidP="00F5017C">
            <w:pPr>
              <w:rPr>
                <w:sz w:val="18"/>
                <w:szCs w:val="18"/>
              </w:rPr>
            </w:pPr>
          </w:p>
        </w:tc>
        <w:tc>
          <w:tcPr>
            <w:tcW w:w="2385" w:type="dxa"/>
          </w:tcPr>
          <w:p w14:paraId="375A4CAC" w14:textId="77777777" w:rsidR="00F52A2B" w:rsidRPr="00176D26" w:rsidRDefault="00F52A2B" w:rsidP="00F5017C">
            <w:pPr>
              <w:rPr>
                <w:sz w:val="18"/>
                <w:szCs w:val="18"/>
              </w:rPr>
            </w:pPr>
            <w:r w:rsidRPr="00176D26">
              <w:rPr>
                <w:sz w:val="18"/>
                <w:szCs w:val="18"/>
              </w:rPr>
              <w:t xml:space="preserve">Comité de Ética </w:t>
            </w:r>
          </w:p>
        </w:tc>
        <w:tc>
          <w:tcPr>
            <w:tcW w:w="1844" w:type="dxa"/>
          </w:tcPr>
          <w:p w14:paraId="1E3C4445" w14:textId="77777777" w:rsidR="00F52A2B" w:rsidRPr="00176D26" w:rsidRDefault="00F52A2B" w:rsidP="00F5017C">
            <w:pPr>
              <w:rPr>
                <w:sz w:val="18"/>
                <w:szCs w:val="18"/>
              </w:rPr>
            </w:pPr>
            <w:r w:rsidRPr="00176D26">
              <w:rPr>
                <w:sz w:val="18"/>
                <w:szCs w:val="18"/>
              </w:rPr>
              <w:t xml:space="preserve">Número telefónico y cuenta de correo </w:t>
            </w:r>
          </w:p>
        </w:tc>
      </w:tr>
      <w:tr w:rsidR="00F52A2B" w:rsidRPr="00176D26" w14:paraId="65CDA9F7" w14:textId="77777777" w:rsidTr="00F5017C">
        <w:trPr>
          <w:trHeight w:val="277"/>
        </w:trPr>
        <w:tc>
          <w:tcPr>
            <w:tcW w:w="309" w:type="dxa"/>
          </w:tcPr>
          <w:p w14:paraId="55BE0973" w14:textId="77777777" w:rsidR="00F52A2B" w:rsidRPr="00176D26" w:rsidRDefault="00F52A2B" w:rsidP="00F5017C">
            <w:pPr>
              <w:rPr>
                <w:sz w:val="18"/>
                <w:szCs w:val="18"/>
              </w:rPr>
            </w:pPr>
            <w:r>
              <w:rPr>
                <w:sz w:val="18"/>
                <w:szCs w:val="18"/>
              </w:rPr>
              <w:t>6</w:t>
            </w:r>
          </w:p>
        </w:tc>
        <w:tc>
          <w:tcPr>
            <w:tcW w:w="3088" w:type="dxa"/>
          </w:tcPr>
          <w:p w14:paraId="767D76B6" w14:textId="77777777" w:rsidR="00F52A2B" w:rsidRPr="00176D26" w:rsidRDefault="00F52A2B" w:rsidP="00F5017C">
            <w:pPr>
              <w:rPr>
                <w:sz w:val="18"/>
                <w:szCs w:val="18"/>
              </w:rPr>
            </w:pPr>
            <w:r w:rsidRPr="00176D26">
              <w:rPr>
                <w:sz w:val="18"/>
                <w:szCs w:val="18"/>
              </w:rPr>
              <w:t xml:space="preserve">Informar a instancias superiores el estado que guarda la atención de las investigaciones de las denuncias por actos contrarios a la ética y conducta institucional </w:t>
            </w:r>
          </w:p>
        </w:tc>
        <w:tc>
          <w:tcPr>
            <w:tcW w:w="4707" w:type="dxa"/>
          </w:tcPr>
          <w:p w14:paraId="46402093" w14:textId="77777777" w:rsidR="00F52A2B" w:rsidRPr="00176D26" w:rsidRDefault="00F52A2B" w:rsidP="00F5017C">
            <w:pPr>
              <w:rPr>
                <w:sz w:val="18"/>
                <w:szCs w:val="18"/>
              </w:rPr>
            </w:pPr>
            <w:r w:rsidRPr="00176D26">
              <w:rPr>
                <w:sz w:val="18"/>
                <w:szCs w:val="18"/>
              </w:rPr>
              <w:t>Elaboración de informe del Estado que guardan las investigaciones por denuncia de actos contrarios al código de ética y de conducta.</w:t>
            </w:r>
          </w:p>
        </w:tc>
        <w:tc>
          <w:tcPr>
            <w:tcW w:w="1105" w:type="dxa"/>
          </w:tcPr>
          <w:p w14:paraId="252E7601" w14:textId="77777777" w:rsidR="00F52A2B" w:rsidRPr="00176D26" w:rsidRDefault="00F52A2B" w:rsidP="00F5017C">
            <w:pPr>
              <w:rPr>
                <w:sz w:val="18"/>
                <w:szCs w:val="18"/>
              </w:rPr>
            </w:pPr>
            <w:r w:rsidRPr="00176D26">
              <w:rPr>
                <w:sz w:val="18"/>
                <w:szCs w:val="18"/>
              </w:rPr>
              <w:t>diciembre</w:t>
            </w:r>
          </w:p>
        </w:tc>
        <w:tc>
          <w:tcPr>
            <w:tcW w:w="1134" w:type="dxa"/>
          </w:tcPr>
          <w:p w14:paraId="32EC9274" w14:textId="77777777" w:rsidR="005003A8" w:rsidRDefault="005003A8" w:rsidP="005003A8">
            <w:pPr>
              <w:rPr>
                <w:sz w:val="18"/>
                <w:szCs w:val="18"/>
              </w:rPr>
            </w:pPr>
            <w:r>
              <w:rPr>
                <w:sz w:val="18"/>
                <w:szCs w:val="18"/>
              </w:rPr>
              <w:t>Diciembre</w:t>
            </w:r>
          </w:p>
          <w:p w14:paraId="0271CC99" w14:textId="5FC56625" w:rsidR="00F52A2B" w:rsidRPr="00176D26" w:rsidRDefault="00F52A2B" w:rsidP="00F5017C">
            <w:pPr>
              <w:rPr>
                <w:sz w:val="18"/>
                <w:szCs w:val="18"/>
              </w:rPr>
            </w:pPr>
          </w:p>
        </w:tc>
        <w:tc>
          <w:tcPr>
            <w:tcW w:w="2385" w:type="dxa"/>
          </w:tcPr>
          <w:p w14:paraId="62C2C0F4" w14:textId="77777777" w:rsidR="00F52A2B" w:rsidRPr="00176D26" w:rsidRDefault="00F52A2B" w:rsidP="00F5017C">
            <w:pPr>
              <w:rPr>
                <w:sz w:val="18"/>
                <w:szCs w:val="18"/>
              </w:rPr>
            </w:pPr>
            <w:r w:rsidRPr="00176D26">
              <w:rPr>
                <w:sz w:val="18"/>
                <w:szCs w:val="18"/>
              </w:rPr>
              <w:t xml:space="preserve">Comité de Ética </w:t>
            </w:r>
          </w:p>
        </w:tc>
        <w:tc>
          <w:tcPr>
            <w:tcW w:w="1844" w:type="dxa"/>
          </w:tcPr>
          <w:p w14:paraId="64713366" w14:textId="77777777" w:rsidR="00F52A2B" w:rsidRPr="00176D26" w:rsidRDefault="00F52A2B" w:rsidP="00F5017C">
            <w:pPr>
              <w:rPr>
                <w:sz w:val="18"/>
                <w:szCs w:val="18"/>
              </w:rPr>
            </w:pPr>
            <w:r w:rsidRPr="00176D26">
              <w:rPr>
                <w:sz w:val="18"/>
                <w:szCs w:val="18"/>
              </w:rPr>
              <w:t xml:space="preserve">Informe de denuncias a la Unidad de Ética de la Contraloría General </w:t>
            </w:r>
          </w:p>
        </w:tc>
      </w:tr>
    </w:tbl>
    <w:p w14:paraId="1EC2E4FB" w14:textId="19D6A3C3" w:rsidR="00A11C41" w:rsidRPr="001E329E" w:rsidRDefault="00A11C41" w:rsidP="001E329E">
      <w:pPr>
        <w:tabs>
          <w:tab w:val="left" w:pos="12600"/>
          <w:tab w:val="left" w:pos="13440"/>
        </w:tabs>
        <w:rPr>
          <w:sz w:val="18"/>
          <w:szCs w:val="18"/>
        </w:rPr>
      </w:pPr>
    </w:p>
    <w:sectPr w:rsidR="00A11C41" w:rsidRPr="001E329E" w:rsidSect="007E56C3">
      <w:headerReference w:type="default" r:id="rId6"/>
      <w:footerReference w:type="default" r:id="rId7"/>
      <w:pgSz w:w="15840" w:h="12240" w:orient="landscape"/>
      <w:pgMar w:top="851" w:right="531" w:bottom="426" w:left="851"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4698C" w14:textId="77777777" w:rsidR="00BC55D2" w:rsidRDefault="00BC55D2">
      <w:pPr>
        <w:spacing w:after="0" w:line="240" w:lineRule="auto"/>
      </w:pPr>
      <w:r>
        <w:separator/>
      </w:r>
    </w:p>
  </w:endnote>
  <w:endnote w:type="continuationSeparator" w:id="0">
    <w:p w14:paraId="6F5EA7AA" w14:textId="77777777" w:rsidR="00BC55D2" w:rsidRDefault="00BC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0F54" w14:textId="5BE4EC9B" w:rsidR="004F3054" w:rsidRDefault="008810CC" w:rsidP="007E56C3">
    <w:pPr>
      <w:pStyle w:val="Sinespaciado"/>
      <w:jc w:val="center"/>
      <w:rPr>
        <w:rFonts w:ascii="Open Sans" w:hAnsi="Open Sans" w:cs="Open Sans"/>
        <w:color w:val="595959" w:themeColor="text1" w:themeTint="A6"/>
        <w:sz w:val="12"/>
        <w:szCs w:val="12"/>
      </w:rPr>
    </w:pPr>
    <w:r w:rsidRPr="007E56C3">
      <w:rPr>
        <w:sz w:val="16"/>
        <w:szCs w:val="16"/>
      </w:rPr>
      <w:t>Esta hoja pertenece al programa de Trabajo de CE de 202</w:t>
    </w:r>
    <w:r w:rsidR="005003A8">
      <w:rPr>
        <w:sz w:val="16"/>
        <w:szCs w:val="16"/>
      </w:rPr>
      <w:t>4</w:t>
    </w:r>
    <w:r w:rsidRPr="007E56C3">
      <w:rPr>
        <w:sz w:val="16"/>
        <w:szCs w:val="16"/>
      </w:rPr>
      <w:t xml:space="preserve"> de la Secretaría de Seguridad Pública de B.C.S.</w:t>
    </w:r>
    <w:r>
      <w:t xml:space="preserve">                                                          </w:t>
    </w:r>
    <w:r w:rsidR="005003A8">
      <w:rPr>
        <w:rFonts w:ascii="Open Sans" w:hAnsi="Open Sans" w:cs="Open Sans"/>
        <w:color w:val="595959" w:themeColor="text1" w:themeTint="A6"/>
        <w:sz w:val="12"/>
        <w:szCs w:val="12"/>
      </w:rPr>
      <w:t>Versión 1</w:t>
    </w:r>
    <w:r>
      <w:rPr>
        <w:rFonts w:ascii="Open Sans" w:hAnsi="Open Sans" w:cs="Open Sans"/>
        <w:color w:val="595959" w:themeColor="text1" w:themeTint="A6"/>
        <w:sz w:val="12"/>
        <w:szCs w:val="12"/>
      </w:rPr>
      <w:t>.0</w:t>
    </w:r>
  </w:p>
  <w:p w14:paraId="7D82F4BC" w14:textId="35928193" w:rsidR="004F3054" w:rsidRDefault="005003A8" w:rsidP="007E56C3">
    <w:pPr>
      <w:pStyle w:val="Sinespaciado"/>
      <w:jc w:val="right"/>
      <w:rPr>
        <w:rFonts w:ascii="Open Sans" w:hAnsi="Open Sans" w:cs="Open Sans"/>
        <w:color w:val="595959" w:themeColor="text1" w:themeTint="A6"/>
        <w:sz w:val="12"/>
        <w:szCs w:val="12"/>
      </w:rPr>
    </w:pPr>
    <w:r>
      <w:rPr>
        <w:rFonts w:ascii="Open Sans" w:hAnsi="Open Sans" w:cs="Open Sans"/>
        <w:color w:val="595959" w:themeColor="text1" w:themeTint="A6"/>
        <w:sz w:val="12"/>
        <w:szCs w:val="12"/>
      </w:rPr>
      <w:t xml:space="preserve">Fecha elaboración: </w:t>
    </w:r>
    <w:r w:rsidR="002072FD">
      <w:rPr>
        <w:rFonts w:ascii="Open Sans" w:hAnsi="Open Sans" w:cs="Open Sans"/>
        <w:color w:val="595959" w:themeColor="text1" w:themeTint="A6"/>
        <w:sz w:val="12"/>
        <w:szCs w:val="12"/>
      </w:rPr>
      <w:t>enero</w:t>
    </w:r>
    <w:r>
      <w:rPr>
        <w:rFonts w:ascii="Open Sans" w:hAnsi="Open Sans" w:cs="Open Sans"/>
        <w:color w:val="595959" w:themeColor="text1" w:themeTint="A6"/>
        <w:sz w:val="12"/>
        <w:szCs w:val="12"/>
      </w:rPr>
      <w:t xml:space="preserve"> 2024</w:t>
    </w:r>
    <w:r w:rsidR="008810CC">
      <w:rPr>
        <w:rFonts w:ascii="Open Sans" w:hAnsi="Open Sans" w:cs="Open Sans"/>
        <w:color w:val="595959" w:themeColor="text1" w:themeTint="A6"/>
        <w:sz w:val="12"/>
        <w:szCs w:val="12"/>
      </w:rPr>
      <w:t xml:space="preserve"> </w:t>
    </w:r>
  </w:p>
  <w:p w14:paraId="23F3CDBB" w14:textId="1BE2CD2D" w:rsidR="004F3054" w:rsidRDefault="005003A8" w:rsidP="007E56C3">
    <w:pPr>
      <w:pStyle w:val="Sinespaciado"/>
      <w:jc w:val="right"/>
      <w:rPr>
        <w:rFonts w:ascii="Open Sans" w:hAnsi="Open Sans" w:cs="Open Sans"/>
        <w:color w:val="595959" w:themeColor="text1" w:themeTint="A6"/>
        <w:sz w:val="12"/>
        <w:szCs w:val="12"/>
      </w:rPr>
    </w:pPr>
    <w:r>
      <w:rPr>
        <w:rFonts w:ascii="Open Sans" w:hAnsi="Open Sans" w:cs="Open Sans"/>
        <w:color w:val="595959" w:themeColor="text1" w:themeTint="A6"/>
        <w:sz w:val="12"/>
        <w:szCs w:val="12"/>
      </w:rPr>
      <w:t xml:space="preserve">Última actualización: </w:t>
    </w:r>
    <w:r w:rsidR="002072FD">
      <w:rPr>
        <w:rFonts w:ascii="Open Sans" w:hAnsi="Open Sans" w:cs="Open Sans"/>
        <w:color w:val="595959" w:themeColor="text1" w:themeTint="A6"/>
        <w:sz w:val="12"/>
        <w:szCs w:val="12"/>
      </w:rPr>
      <w:t>enero</w:t>
    </w:r>
    <w:r>
      <w:rPr>
        <w:rFonts w:ascii="Open Sans" w:hAnsi="Open Sans" w:cs="Open Sans"/>
        <w:color w:val="595959" w:themeColor="text1" w:themeTint="A6"/>
        <w:sz w:val="12"/>
        <w:szCs w:val="12"/>
      </w:rPr>
      <w:t xml:space="preserve"> 2024</w:t>
    </w:r>
  </w:p>
  <w:p w14:paraId="5B28351B" w14:textId="77777777" w:rsidR="004F3054" w:rsidRPr="006C4ABD" w:rsidRDefault="008810CC" w:rsidP="007E56C3">
    <w:pPr>
      <w:pStyle w:val="Piedepgina"/>
      <w:jc w:val="righ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23EC9" w14:textId="77777777" w:rsidR="00BC55D2" w:rsidRDefault="00BC55D2">
      <w:pPr>
        <w:spacing w:after="0" w:line="240" w:lineRule="auto"/>
      </w:pPr>
      <w:r>
        <w:separator/>
      </w:r>
    </w:p>
  </w:footnote>
  <w:footnote w:type="continuationSeparator" w:id="0">
    <w:p w14:paraId="517CD601" w14:textId="77777777" w:rsidR="00BC55D2" w:rsidRDefault="00BC5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1C67F" w14:textId="1C7CCF44" w:rsidR="004F3054" w:rsidRPr="00524AC1" w:rsidRDefault="008810CC" w:rsidP="00524AC1">
    <w:pPr>
      <w:jc w:val="right"/>
      <w:rPr>
        <w:b/>
        <w:bCs/>
        <w:sz w:val="24"/>
        <w:szCs w:val="24"/>
      </w:rPr>
    </w:pPr>
    <w:r>
      <w:rPr>
        <w:sz w:val="18"/>
        <w:szCs w:val="18"/>
      </w:rPr>
      <w:t xml:space="preserve">                                                                        </w:t>
    </w:r>
    <w:r>
      <w:rPr>
        <w:noProof/>
        <w:lang w:eastAsia="es-MX"/>
      </w:rPr>
      <w:drawing>
        <wp:anchor distT="0" distB="0" distL="114300" distR="114300" simplePos="0" relativeHeight="251659264" behindDoc="0" locked="0" layoutInCell="1" allowOverlap="1" wp14:anchorId="40D98A61" wp14:editId="749E86F3">
          <wp:simplePos x="0" y="0"/>
          <wp:positionH relativeFrom="margin">
            <wp:posOffset>0</wp:posOffset>
          </wp:positionH>
          <wp:positionV relativeFrom="paragraph">
            <wp:posOffset>-635</wp:posOffset>
          </wp:positionV>
          <wp:extent cx="4476750" cy="4572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4476750" cy="457200"/>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Pr="00524AC1">
      <w:rPr>
        <w:b/>
        <w:bCs/>
        <w:sz w:val="24"/>
        <w:szCs w:val="24"/>
      </w:rPr>
      <w:t xml:space="preserve">PROGRAMA DE TRABAJO DE COMITÉ DE ÉTICA </w:t>
    </w:r>
    <w:r>
      <w:rPr>
        <w:b/>
        <w:bCs/>
        <w:sz w:val="24"/>
        <w:szCs w:val="24"/>
      </w:rPr>
      <w:t>(</w:t>
    </w:r>
    <w:r w:rsidRPr="00524AC1">
      <w:rPr>
        <w:b/>
        <w:bCs/>
        <w:sz w:val="24"/>
        <w:szCs w:val="24"/>
      </w:rPr>
      <w:t>202</w:t>
    </w:r>
    <w:r w:rsidR="00F52A2B">
      <w:rPr>
        <w:b/>
        <w:bCs/>
        <w:sz w:val="24"/>
        <w:szCs w:val="24"/>
      </w:rPr>
      <w:t>4</w:t>
    </w:r>
    <w:r w:rsidRPr="00524AC1">
      <w:rPr>
        <w:b/>
        <w:bCs/>
        <w:sz w:val="24"/>
        <w:szCs w:val="24"/>
      </w:rPr>
      <w:t>)</w:t>
    </w:r>
  </w:p>
  <w:p w14:paraId="6658E51A" w14:textId="77777777" w:rsidR="004F3054" w:rsidRDefault="004F30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9E"/>
    <w:rsid w:val="001E329E"/>
    <w:rsid w:val="002072FD"/>
    <w:rsid w:val="0027189A"/>
    <w:rsid w:val="004F3054"/>
    <w:rsid w:val="005003A8"/>
    <w:rsid w:val="005D2D6E"/>
    <w:rsid w:val="0065434B"/>
    <w:rsid w:val="006B6AAA"/>
    <w:rsid w:val="00767657"/>
    <w:rsid w:val="007C6A47"/>
    <w:rsid w:val="007F68FB"/>
    <w:rsid w:val="008810CC"/>
    <w:rsid w:val="008856A6"/>
    <w:rsid w:val="009416E6"/>
    <w:rsid w:val="00A11C41"/>
    <w:rsid w:val="00A61521"/>
    <w:rsid w:val="00A64707"/>
    <w:rsid w:val="00BC55D2"/>
    <w:rsid w:val="00D0651D"/>
    <w:rsid w:val="00DE2F1C"/>
    <w:rsid w:val="00EA5C41"/>
    <w:rsid w:val="00F52A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530C"/>
  <w15:docId w15:val="{A8B8176D-C6C2-492E-858C-89B0A237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E32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29E"/>
  </w:style>
  <w:style w:type="paragraph" w:styleId="Piedepgina">
    <w:name w:val="footer"/>
    <w:basedOn w:val="Normal"/>
    <w:link w:val="PiedepginaCar"/>
    <w:uiPriority w:val="99"/>
    <w:unhideWhenUsed/>
    <w:rsid w:val="001E32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29E"/>
  </w:style>
  <w:style w:type="character" w:customStyle="1" w:styleId="PrrafodelistaCar">
    <w:name w:val="Párrafo de lista Car"/>
    <w:aliases w:val="Dot pt Car,F5 List Paragraph Car,List Paragraph1 Car,Colorful List - Accent 11 Car,No Spacing1 Car,List Paragraph Char Char Char Car,Indicator Text Car,Numbered Para 1 Car,Bullet 1 Car,Bullet Points Car,List Paragraph2 Car"/>
    <w:link w:val="Prrafodelista"/>
    <w:uiPriority w:val="34"/>
    <w:locked/>
    <w:rsid w:val="001E329E"/>
    <w:rPr>
      <w:rFonts w:ascii="Arial" w:hAnsi="Arial" w:cs="Arial"/>
      <w:lang w:eastAsia="es-ES"/>
    </w:rPr>
  </w:style>
  <w:style w:type="paragraph" w:styleId="Prrafodelista">
    <w:name w:val="List Paragraph"/>
    <w:aliases w:val="Dot pt,F5 List Paragraph,List Paragraph1,Colorful List - Accent 11,No Spacing1,List Paragraph Char Char Char,Indicator Text,Numbered Para 1,Bullet 1,Bullet Points,List Paragraph2,MAIN CONTENT,Normal numbered,Recommendatio,List Paragraph"/>
    <w:basedOn w:val="Normal"/>
    <w:link w:val="PrrafodelistaCar"/>
    <w:uiPriority w:val="34"/>
    <w:qFormat/>
    <w:rsid w:val="001E329E"/>
    <w:pPr>
      <w:spacing w:after="0" w:line="240" w:lineRule="auto"/>
      <w:ind w:left="720"/>
      <w:contextualSpacing/>
    </w:pPr>
    <w:rPr>
      <w:rFonts w:ascii="Arial" w:hAnsi="Arial" w:cs="Arial"/>
      <w:lang w:eastAsia="es-ES"/>
    </w:rPr>
  </w:style>
  <w:style w:type="paragraph" w:styleId="Sinespaciado">
    <w:name w:val="No Spacing"/>
    <w:uiPriority w:val="1"/>
    <w:qFormat/>
    <w:rsid w:val="001E329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Dell1193748</dc:creator>
  <cp:lastModifiedBy>DIRJURIDICA1188220</cp:lastModifiedBy>
  <cp:revision>3</cp:revision>
  <dcterms:created xsi:type="dcterms:W3CDTF">2025-01-09T16:04:00Z</dcterms:created>
  <dcterms:modified xsi:type="dcterms:W3CDTF">2025-01-23T16:48:00Z</dcterms:modified>
</cp:coreProperties>
</file>